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jc w:val="center"/>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jc w:val="center"/>
        </w:trPr>
        <w:tc>
          <w:tcPr>
            <w:tcW w:w="8306" w:type="dxa"/>
            <w:shd w:val="clear"/>
            <w:vAlign w:val="center"/>
          </w:tcPr>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rHeight w:val="555" w:hRule="atLeast"/>
                <w:tblCellSpacing w:w="0" w:type="dxa"/>
              </w:trPr>
              <w:tc>
                <w:tcPr>
                  <w:tcW w:w="8306" w:type="dxa"/>
                  <w:shd w:val="clear"/>
                  <w:vAlign w:val="center"/>
                </w:tcPr>
                <w:p>
                  <w:pPr>
                    <w:keepNext w:val="0"/>
                    <w:keepLines w:val="0"/>
                    <w:widowControl/>
                    <w:suppressLineNumbers w:val="0"/>
                    <w:spacing w:line="432" w:lineRule="auto"/>
                    <w:jc w:val="center"/>
                    <w:rPr>
                      <w:rFonts w:hint="eastAsia" w:ascii="宋体" w:hAnsi="宋体" w:eastAsia="宋体" w:cs="宋体"/>
                      <w:b/>
                      <w:color w:val="185895"/>
                      <w:sz w:val="36"/>
                      <w:szCs w:val="36"/>
                    </w:rPr>
                  </w:pPr>
                  <w:r>
                    <w:rPr>
                      <w:rFonts w:hint="eastAsia" w:ascii="宋体" w:hAnsi="宋体" w:eastAsia="宋体" w:cs="宋体"/>
                      <w:b/>
                      <w:color w:val="185895"/>
                      <w:kern w:val="0"/>
                      <w:sz w:val="36"/>
                      <w:szCs w:val="36"/>
                      <w:lang w:val="en-US" w:eastAsia="zh-CN" w:bidi="ar"/>
                    </w:rPr>
                    <w:t>中华人民共和国财政部令第100号</w:t>
                  </w:r>
                  <w:r>
                    <w:rPr>
                      <w:rFonts w:hint="eastAsia" w:ascii="宋体" w:hAnsi="宋体" w:eastAsia="宋体" w:cs="宋体"/>
                      <w:b/>
                      <w:color w:val="185895"/>
                      <w:kern w:val="0"/>
                      <w:sz w:val="36"/>
                      <w:szCs w:val="36"/>
                      <w:lang w:val="en-US" w:eastAsia="zh-CN" w:bidi="ar"/>
                    </w:rPr>
                    <w:br w:type="textWrapping"/>
                  </w:r>
                  <w:r>
                    <w:rPr>
                      <w:rFonts w:hint="eastAsia" w:ascii="宋体" w:hAnsi="宋体" w:eastAsia="宋体" w:cs="宋体"/>
                      <w:b/>
                      <w:color w:val="185895"/>
                      <w:kern w:val="0"/>
                      <w:sz w:val="36"/>
                      <w:szCs w:val="36"/>
                      <w:lang w:val="en-US" w:eastAsia="zh-CN" w:bidi="ar"/>
                    </w:rPr>
                    <w:t>--</w:t>
                  </w:r>
                  <w:bookmarkStart w:id="0" w:name="_GoBack"/>
                  <w:r>
                    <w:rPr>
                      <w:rFonts w:hint="eastAsia" w:ascii="宋体" w:hAnsi="宋体" w:eastAsia="宋体" w:cs="宋体"/>
                      <w:b/>
                      <w:color w:val="185895"/>
                      <w:kern w:val="0"/>
                      <w:sz w:val="36"/>
                      <w:szCs w:val="36"/>
                      <w:lang w:val="en-US" w:eastAsia="zh-CN" w:bidi="ar"/>
                    </w:rPr>
                    <w:t>财政部关于修改《事业单位国有资产管理暂行办法》的决定</w:t>
                  </w:r>
                  <w:bookmarkEnd w:id="0"/>
                  <w:r>
                    <w:rPr>
                      <w:rFonts w:hint="eastAsia" w:ascii="宋体" w:hAnsi="宋体" w:eastAsia="宋体" w:cs="宋体"/>
                      <w:b/>
                      <w:color w:val="185895"/>
                      <w:kern w:val="0"/>
                      <w:sz w:val="36"/>
                      <w:szCs w:val="36"/>
                      <w:lang w:val="en-US" w:eastAsia="zh-CN" w:bidi="ar"/>
                    </w:rPr>
                    <w:t xml:space="preserve"> </w:t>
                  </w:r>
                </w:p>
              </w:tc>
            </w:tr>
          </w:tbl>
          <w:p>
            <w:pPr>
              <w:rPr>
                <w:vanish/>
                <w:sz w:val="24"/>
                <w:szCs w:val="24"/>
              </w:rPr>
            </w:pPr>
          </w:p>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rHeight w:val="16" w:hRule="atLeast"/>
                <w:tblCellSpacing w:w="0" w:type="dxa"/>
                <w:hidden/>
              </w:trPr>
              <w:tc>
                <w:tcPr>
                  <w:tcW w:w="8306" w:type="dxa"/>
                  <w:shd w:val="clear"/>
                  <w:vAlign w:val="center"/>
                </w:tcPr>
                <w:p>
                  <w:pPr>
                    <w:pStyle w:val="8"/>
                    <w:keepNext w:val="0"/>
                    <w:keepLines w:val="0"/>
                    <w:widowControl/>
                    <w:suppressLineNumbers w:val="0"/>
                    <w:spacing w:line="432" w:lineRule="auto"/>
                  </w:pPr>
                  <w:r>
                    <w:rPr>
                      <w:vanish/>
                      <w:sz w:val="24"/>
                      <w:szCs w:val="24"/>
                    </w:rPr>
                    <w:pict>
                      <v:rect id="_x0000_i1025" o:spt="1" style="height:1.5pt;width:432pt;" fillcolor="#A0A0A0" filled="t" stroked="f" coordsize="21600,21600" o:hr="t" o:hrstd="t" o:hralign="center">
                        <v:path/>
                        <v:fill on="t" focussize="0,0"/>
                        <v:stroke on="f"/>
                        <v:imagedata o:title=""/>
                        <o:lock v:ext="edit"/>
                        <w10:wrap type="none"/>
                        <w10:anchorlock/>
                      </v:rect>
                    </w:pict>
                  </w:r>
                </w:p>
              </w:tc>
            </w:tr>
          </w:tbl>
          <w:p>
            <w:pPr>
              <w:rPr>
                <w:vanish/>
                <w:sz w:val="24"/>
                <w:szCs w:val="24"/>
              </w:rPr>
            </w:pPr>
          </w:p>
          <w:tbl>
            <w:tblPr>
              <w:tblW w:w="8306" w:type="dxa"/>
              <w:tblCellSpacing w:w="0" w:type="dxa"/>
              <w:tblInd w:w="0" w:type="dxa"/>
              <w:shd w:val="clear"/>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blCellSpacing w:w="0" w:type="dxa"/>
              </w:trPr>
              <w:tc>
                <w:tcPr>
                  <w:tcW w:w="8306" w:type="dxa"/>
                  <w:shd w:val="clear"/>
                  <w:vAlign w:val="center"/>
                </w:tcPr>
                <w:p>
                  <w:pPr>
                    <w:jc w:val="left"/>
                    <w:rPr>
                      <w:rFonts w:hint="eastAsia" w:ascii="宋体" w:hAnsi="宋体" w:eastAsia="宋体" w:cs="宋体"/>
                      <w:sz w:val="24"/>
                      <w:szCs w:val="24"/>
                    </w:rPr>
                  </w:pPr>
                </w:p>
              </w:tc>
            </w:tr>
          </w:tbl>
          <w:p>
            <w:pPr>
              <w:spacing w:line="432" w:lineRule="auto"/>
              <w:jc w:val="left"/>
              <w:rPr>
                <w:rFonts w:hint="eastAsia" w:ascii="宋体" w:hAnsi="宋体" w:eastAsia="宋体" w:cs="宋体"/>
                <w:sz w:val="18"/>
                <w:szCs w:val="18"/>
              </w:rPr>
            </w:pPr>
          </w:p>
        </w:tc>
      </w:tr>
      <w:tr>
        <w:tblPrEx>
          <w:shd w:val="clear"/>
          <w:tblLayout w:type="fixed"/>
          <w:tblCellMar>
            <w:top w:w="0" w:type="dxa"/>
            <w:left w:w="0" w:type="dxa"/>
            <w:bottom w:w="0" w:type="dxa"/>
            <w:right w:w="0" w:type="dxa"/>
          </w:tblCellMar>
        </w:tblPrEx>
        <w:trPr>
          <w:tblCellSpacing w:w="0" w:type="dxa"/>
          <w:jc w:val="center"/>
        </w:trPr>
        <w:tc>
          <w:tcPr>
            <w:tcW w:w="8306" w:type="dxa"/>
            <w:shd w:val="clear"/>
            <w:vAlign w:val="center"/>
          </w:tcPr>
          <w:tbl>
            <w:tblPr>
              <w:tblW w:w="8306" w:type="dxa"/>
              <w:tblCellSpacing w:w="0" w:type="dxa"/>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Layout w:type="fixed"/>
                <w:tblCellMar>
                  <w:top w:w="0" w:type="dxa"/>
                  <w:left w:w="0" w:type="dxa"/>
                  <w:bottom w:w="0" w:type="dxa"/>
                  <w:right w:w="0" w:type="dxa"/>
                </w:tblCellMar>
              </w:tblPrEx>
              <w:trPr>
                <w:trHeight w:val="1140" w:hRule="atLeast"/>
                <w:tblCellSpacing w:w="0" w:type="dxa"/>
              </w:trPr>
              <w:tc>
                <w:tcPr>
                  <w:tcW w:w="8306" w:type="dxa"/>
                  <w:shd w:val="clear" w:color="auto" w:fill="FFFFFF"/>
                  <w:vAlign w:val="top"/>
                </w:tcPr>
                <w:tbl>
                  <w:tblPr>
                    <w:tblW w:w="7060" w:type="dxa"/>
                    <w:jc w:val="center"/>
                    <w:tblCellSpacing w:w="0" w:type="dxa"/>
                    <w:tblInd w:w="623" w:type="dxa"/>
                    <w:shd w:val="clear"/>
                    <w:tblLayout w:type="fixed"/>
                    <w:tblCellMar>
                      <w:top w:w="0" w:type="dxa"/>
                      <w:left w:w="0" w:type="dxa"/>
                      <w:bottom w:w="0" w:type="dxa"/>
                      <w:right w:w="0" w:type="dxa"/>
                    </w:tblCellMar>
                  </w:tblPr>
                  <w:tblGrid>
                    <w:gridCol w:w="7060"/>
                  </w:tblGrid>
                  <w:tr>
                    <w:tblPrEx>
                      <w:shd w:val="clear"/>
                      <w:tblLayout w:type="fixed"/>
                      <w:tblCellMar>
                        <w:top w:w="0" w:type="dxa"/>
                        <w:left w:w="0" w:type="dxa"/>
                        <w:bottom w:w="0" w:type="dxa"/>
                        <w:right w:w="0" w:type="dxa"/>
                      </w:tblCellMar>
                    </w:tblPrEx>
                    <w:trPr>
                      <w:tblCellSpacing w:w="0" w:type="dxa"/>
                      <w:jc w:val="center"/>
                    </w:trPr>
                    <w:tc>
                      <w:tcPr>
                        <w:tcW w:w="7060" w:type="dxa"/>
                        <w:shd w:val="clear"/>
                        <w:vAlign w:val="center"/>
                      </w:tcPr>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t>　　《财政部关于修改&lt;事业单位国有资产管理暂行办法&gt;的决定》已经财政部部务会议审议通过，现予公布，自公布之日起施行。</w:t>
                        </w:r>
                      </w:p>
                      <w:p>
                        <w:pPr>
                          <w:pStyle w:val="2"/>
                          <w:keepNext w:val="0"/>
                          <w:keepLines w:val="0"/>
                          <w:widowControl/>
                          <w:suppressLineNumbers w:val="0"/>
                          <w:spacing w:after="210" w:afterAutospacing="0" w:line="27" w:lineRule="atLeast"/>
                          <w:jc w:val="right"/>
                          <w:rPr>
                            <w:rFonts w:hint="eastAsia" w:ascii="宋体" w:hAnsi="宋体" w:eastAsia="宋体" w:cs="宋体"/>
                            <w:sz w:val="24"/>
                            <w:szCs w:val="24"/>
                          </w:rPr>
                        </w:pPr>
                        <w:r>
                          <w:rPr>
                            <w:rFonts w:hint="eastAsia" w:ascii="宋体" w:hAnsi="宋体" w:eastAsia="宋体" w:cs="宋体"/>
                            <w:sz w:val="24"/>
                            <w:szCs w:val="24"/>
                          </w:rPr>
                          <w:t>部长  刘昆</w:t>
                        </w:r>
                      </w:p>
                      <w:p>
                        <w:pPr>
                          <w:pStyle w:val="2"/>
                          <w:keepNext w:val="0"/>
                          <w:keepLines w:val="0"/>
                          <w:widowControl/>
                          <w:suppressLineNumbers w:val="0"/>
                          <w:spacing w:after="210" w:afterAutospacing="0" w:line="27" w:lineRule="atLeast"/>
                          <w:jc w:val="right"/>
                          <w:rPr>
                            <w:rFonts w:hint="eastAsia" w:ascii="宋体" w:hAnsi="宋体" w:eastAsia="宋体" w:cs="宋体"/>
                            <w:sz w:val="24"/>
                            <w:szCs w:val="24"/>
                          </w:rPr>
                        </w:pPr>
                        <w:r>
                          <w:rPr>
                            <w:rFonts w:hint="eastAsia" w:ascii="宋体" w:hAnsi="宋体" w:eastAsia="宋体" w:cs="宋体"/>
                            <w:sz w:val="24"/>
                            <w:szCs w:val="24"/>
                          </w:rPr>
                          <w:t>　　               2019年3月29日</w:t>
                        </w:r>
                      </w:p>
                      <w:p>
                        <w:pPr>
                          <w:pStyle w:val="2"/>
                          <w:keepNext w:val="0"/>
                          <w:keepLines w:val="0"/>
                          <w:widowControl/>
                          <w:suppressLineNumbers w:val="0"/>
                          <w:spacing w:after="210" w:afterAutospacing="0" w:line="27" w:lineRule="atLeast"/>
                          <w:jc w:val="right"/>
                          <w:rPr>
                            <w:rFonts w:hint="eastAsia" w:ascii="宋体" w:hAnsi="宋体" w:eastAsia="宋体" w:cs="宋体"/>
                            <w:sz w:val="24"/>
                            <w:szCs w:val="24"/>
                          </w:rPr>
                        </w:pPr>
                        <w:r>
                          <w:rPr>
                            <w:rFonts w:hint="eastAsia" w:ascii="宋体" w:hAnsi="宋体" w:eastAsia="宋体" w:cs="宋体"/>
                            <w:sz w:val="24"/>
                            <w:szCs w:val="24"/>
                          </w:rPr>
                          <w:t> </w:t>
                        </w:r>
                      </w:p>
                      <w:p>
                        <w:pPr>
                          <w:pStyle w:val="2"/>
                          <w:keepNext w:val="0"/>
                          <w:keepLines w:val="0"/>
                          <w:widowControl/>
                          <w:suppressLineNumbers w:val="0"/>
                          <w:spacing w:after="210" w:afterAutospacing="0" w:line="27" w:lineRule="atLeast"/>
                          <w:jc w:val="center"/>
                          <w:rPr>
                            <w:rFonts w:hint="eastAsia" w:ascii="宋体" w:hAnsi="宋体" w:eastAsia="宋体" w:cs="宋体"/>
                            <w:sz w:val="24"/>
                            <w:szCs w:val="24"/>
                          </w:rPr>
                        </w:pPr>
                        <w:r>
                          <w:rPr>
                            <w:rStyle w:val="5"/>
                            <w:rFonts w:hint="eastAsia" w:ascii="宋体" w:hAnsi="宋体" w:eastAsia="宋体" w:cs="宋体"/>
                            <w:sz w:val="24"/>
                            <w:szCs w:val="24"/>
                          </w:rPr>
                          <w:t>财政部关于修改《事业单位国有资产管理暂行办法》的决定</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财政部部务会议决定，对《事业单位国有资产管理暂行办法》作出修改：</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一、将第二十一条第一款修改为：“事业单位利用国有资产对外投资、出租、出借和担保等应当进行必要的可行性论证，并提出申请，经主管部门审核同意后，报同级财政部门审批。法律、行政法规和本办法第五十六条另有规定的，依照其规定。”</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二、将第二十三条修改为：“除本办法第五十六条及国家另有规定外，事业单位对外投资收益以及利用国有资产出租、出借和担保等取得的收入应当纳入单位预算，统一核算，统一管理。”</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三、将第二十五条修改为：“除本办法第五十六条另有规定外，事业单位处置国有资产，应当严格履行审批手续，未经批准不得自行处置。”</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四、将第二十六条修改为：“事业单位占有、使用的房屋建筑物、土地和车辆的处置，货币性资产损失的核销，以及单位价值或者批量价值在规定限额以上的资产的处置，经主管部门审核后报同级财政部门审批；规定限额以下的资产的处置报主管部门审批，主管部门将审批结果定期报同级财政部门备案。法律、行政法规和本办法第五十六条另有规定的，依照其规定。”</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五、将第二十九条修改为：“除本办法第五十六条另有规定外，事业单位国有资产处置收入属于国家所有，应当按照政府非税收入管理的规定，实行‘收支两条线’管理。”</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六、将第三十九条第三项修改为第四项，增加一项作为第三项：“（三）国家设立的研究开发机构、高等院校将其持有的科技成果转让、许可或者作价投资给国有全资企业的；”。</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七、增加一条，作为第四十条：“国家设立的研究开发机构、高等院校将其持有的科技成果转让、许可或者作价投资给非国有全资企业的，由单位自主决定是否进行资产评估。”</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八、将第五十一条修改为第五十二条，第四项修改为第五项，增加一项作为第四项：“（四）通过串通作弊、暗箱操作等低价处置国有资产的；”。</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九、将第五十二条修改为第五十三条，将本条中的“《中华人民共和国行政监察法》”修改为“《中华人民共和国监察法》”。</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十、增加一条，作为第五十六条：“国家设立的研究开发机构、高等院校对其持有的科技成果，可以自主决定转让、许可或者作价投资，不需报主管部门、财政部门审批或者备案，并通过协议定价、在技术交易市场挂牌交易、拍卖等方式确定价格。通过协议定价的，应当在本单位公示科技成果名称和拟交易价格。</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“国家设立的研究开发机构、高等院校转化科技成果所获得的收入全部留归本单位。”</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本决定自公布之日起施行。</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《事业单位国有资产管理暂行办法》根据本决定作相应修改，重新公布。</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w:t>
                        </w:r>
                      </w:p>
                      <w:p>
                        <w:pPr>
                          <w:pStyle w:val="2"/>
                          <w:keepNext w:val="0"/>
                          <w:keepLines w:val="0"/>
                          <w:widowControl/>
                          <w:suppressLineNumbers w:val="0"/>
                          <w:spacing w:after="210" w:afterAutospacing="0" w:line="27" w:lineRule="atLeast"/>
                          <w:jc w:val="center"/>
                          <w:rPr>
                            <w:rFonts w:hint="eastAsia" w:ascii="宋体" w:hAnsi="宋体" w:eastAsia="宋体" w:cs="宋体"/>
                            <w:sz w:val="24"/>
                            <w:szCs w:val="24"/>
                          </w:rPr>
                        </w:pPr>
                        <w:r>
                          <w:rPr>
                            <w:rStyle w:val="5"/>
                            <w:rFonts w:hint="eastAsia" w:ascii="宋体" w:hAnsi="宋体" w:eastAsia="宋体" w:cs="宋体"/>
                            <w:sz w:val="24"/>
                            <w:szCs w:val="24"/>
                          </w:rPr>
                          <w:t>事业单位国有资产管理暂行办法</w:t>
                        </w:r>
                      </w:p>
                      <w:p>
                        <w:pPr>
                          <w:pStyle w:val="2"/>
                          <w:keepNext w:val="0"/>
                          <w:keepLines w:val="0"/>
                          <w:widowControl/>
                          <w:suppressLineNumbers w:val="0"/>
                          <w:spacing w:after="210" w:afterAutospacing="0" w:line="27" w:lineRule="atLeast"/>
                          <w:jc w:val="center"/>
                          <w:rPr>
                            <w:rFonts w:hint="eastAsia" w:ascii="宋体" w:hAnsi="宋体" w:eastAsia="宋体" w:cs="宋体"/>
                            <w:sz w:val="24"/>
                            <w:szCs w:val="24"/>
                          </w:rPr>
                        </w:pPr>
                        <w:r>
                          <w:rPr>
                            <w:rFonts w:hint="eastAsia" w:ascii="宋体" w:hAnsi="宋体" w:eastAsia="宋体" w:cs="宋体"/>
                            <w:sz w:val="24"/>
                            <w:szCs w:val="24"/>
                          </w:rPr>
                          <w:t>　　（2006年5月30日财政部令第36号公布 根据2017年12月4日财政部令第90号《财政部关于修改〈注册会计师注册办法〉等6部规章的决定》第一次修改 根据2019年3月29日《财政部关于修改&lt;事业单位国有资产管理暂行办法&gt;的决定》第二次修改）</w:t>
                        </w:r>
                      </w:p>
                      <w:p>
                        <w:pPr>
                          <w:pStyle w:val="2"/>
                          <w:keepNext w:val="0"/>
                          <w:keepLines w:val="0"/>
                          <w:widowControl/>
                          <w:suppressLineNumbers w:val="0"/>
                          <w:spacing w:after="210" w:afterAutospacing="0" w:line="27" w:lineRule="atLeast"/>
                          <w:jc w:val="center"/>
                          <w:rPr>
                            <w:rFonts w:hint="eastAsia" w:ascii="宋体" w:hAnsi="宋体" w:eastAsia="宋体" w:cs="宋体"/>
                            <w:sz w:val="24"/>
                            <w:szCs w:val="24"/>
                          </w:rPr>
                        </w:pPr>
                        <w:r>
                          <w:rPr>
                            <w:rStyle w:val="5"/>
                            <w:rFonts w:hint="eastAsia" w:ascii="宋体" w:hAnsi="宋体" w:eastAsia="宋体" w:cs="宋体"/>
                            <w:sz w:val="24"/>
                            <w:szCs w:val="24"/>
                          </w:rPr>
                          <w:t>第一章 总则</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第一条 为了规范和加强事业单位国有资产管理，维护国有资产的安全完整，合理配置和有效利用国有资产，保障和促进各项事业发展，建立适应社会主义市场经济和公共财政要求的事业单位国有资产管理体制，根据国务院有关规定，制定本办法。</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第二条 本办法适用于各级各类事业单位的国有资产管理活动。</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第三条 本办法所称的事业单位国有资产，是指事业单位占有、使用的，依法确认为国家所有，能以货币计量的各种经济资源的总称，即事业单位的国有（公共）财产。</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事业单位国有资产包括国家拨给事业单位的资产，事业单位按照国家规定运用国有资产组织收入形成的资产，以及接受捐赠和其他经法律确认为国家所有的资产，其表现形式为流动资产、固定资产、无形资产和对外投资等。</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第四条 事业单位国有资产管理活动，应当坚持资产管理与预算管理相结合的原则，推行实物费用定额制度，促进事业资产整合与共享共用，实现资产管理和预算管理的紧密统一；应当坚持所有权和使用权相分离的原则；应当坚持资产管理与财务管理、实物管理与价值管理相结合的原则。</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第五条 事业单位国有资产实行国家统一所有，政府分级监管，单位占有、使用的管理体制。</w:t>
                        </w:r>
                      </w:p>
                      <w:p>
                        <w:pPr>
                          <w:pStyle w:val="2"/>
                          <w:keepNext w:val="0"/>
                          <w:keepLines w:val="0"/>
                          <w:widowControl/>
                          <w:suppressLineNumbers w:val="0"/>
                          <w:spacing w:after="210" w:afterAutospacing="0" w:line="27" w:lineRule="atLeast"/>
                          <w:jc w:val="center"/>
                          <w:rPr>
                            <w:rFonts w:hint="eastAsia" w:ascii="宋体" w:hAnsi="宋体" w:eastAsia="宋体" w:cs="宋体"/>
                            <w:sz w:val="24"/>
                            <w:szCs w:val="24"/>
                          </w:rPr>
                        </w:pPr>
                        <w:r>
                          <w:rPr>
                            <w:rStyle w:val="5"/>
                            <w:rFonts w:hint="eastAsia" w:ascii="宋体" w:hAnsi="宋体" w:eastAsia="宋体" w:cs="宋体"/>
                            <w:sz w:val="24"/>
                            <w:szCs w:val="24"/>
                          </w:rPr>
                          <w:t>第二章 管理机构及其职责</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第六条 各级财政部门是政府负责事业单位国有资产管理的职能部门，对事业单位的国有资产实施综合管理。其主要职责是：</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（一）根据国家有关国有资产管理的规定，制定事业单位国有资产管理的规章制度，并组织实施和监督检查；</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（二）研究制定本级事业单位实物资产配置标准和相关的费用标准，组织本级事业单位国有资产的产权登记、产权界定、产权纠纷调处、资产评估监管、资产清查和统计报告等基础管理工作；</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三）按规定权限审批本级事业单位有关资产购置、处置和利用国有资产对外投资、出租、出借和担保等事项，组织事业单位长期闲置、低效运转和超标准配置资产的调剂工作，建立事业单位国有资产整合、共享、共用机制；</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（四）推进本级有条件的事业单位实现国有资产的市场化、社会化，加强事业单位转企改制工作中国有资产的监督管理；</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（五）负责本级事业单位国有资产收益的监督管理；</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（六）建立和完善事业单位国有资产管理信息系统，对事业单位国有资产实行动态管理；</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（七）研究建立事业单位国有资产安全性、完整性和使用有效性的评价方法、评价标准和评价机制，对事业单位国有资产实行绩效管理；</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（八）监督、指导本级事业单位及其主管部门、下级财政部门的国有资产管理工作。</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第七条 事业单位的主管部门（以下简称主管部门）负责对本部门所属事业单位的国有资产实施监督管理。其主要职责是：</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（一）根据本级和上级财政部门有关国有资产管理的规定，制定本部门事业单位国有资产管理的实施办法，并组织实施和监督检查；</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（二）组织本部门事业单位国有资产的清查、登记、统计汇总及日常监督检查工作；</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（三）审核本部门所属事业单位利用国有资产对外投资、出租、出借和担保等事项，按规定权限审核或者审批有关资产购置、处置事项；</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（四）负责本部门所属事业单位长期闲置、低效运转和超标准配置资产的调剂工作，优化事业单位国有资产配置，推动事业单位国有资产共享、共用；</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（五）督促本部门所属事业单位按规定缴纳国有资产收益；</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（六）组织实施对本部门所属事业单位国有资产管理和使用情况的评价考核；</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（七）接受同级财政部门的监督、指导并向其报告有关事业单位国有资产管理工作。</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第八条 事业单位负责对本单位占有、使用的国有资产实施具体管理。其主要职责是：</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（一）根据事业单位国有资产管理的有关规定，制定本单位国有资产管理的具体办法并组织实施；</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（二）负责本单位资产购置、验收入库、维护保管等日常管理，负责本单位资产的账卡管理、清查登记、统计报告及日常监督检查工作；</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（三）办理本单位国有资产配置、处置和对外投资、出租、出借和担保等事项的报批手续；</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（四）负责本单位用于对外投资、出租、出借和担保的资产的保值增值，按照规定及时、足额缴纳国有资产收益；</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（五）负责本单位存量资产的有效利用，参与大型仪器、设备等资产的共享、共用和公共研究平台建设工作；</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（六）接受主管部门和同级财政部门的监督、指导并向其报告有关国有资产管理工作。</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第九条 各级财政部门、主管部门和事业单位应当按照本办法的规定，明确管理机构和人员，做好事业单位国有资产管理工作。</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第十条 财政部门根据工作需要，可以将国有资产管理的部分工作交由有关单位完成。</w:t>
                        </w:r>
                      </w:p>
                      <w:p>
                        <w:pPr>
                          <w:pStyle w:val="2"/>
                          <w:keepNext w:val="0"/>
                          <w:keepLines w:val="0"/>
                          <w:widowControl/>
                          <w:suppressLineNumbers w:val="0"/>
                          <w:spacing w:after="210" w:afterAutospacing="0" w:line="27" w:lineRule="atLeast"/>
                          <w:jc w:val="center"/>
                          <w:rPr>
                            <w:rFonts w:hint="eastAsia" w:ascii="宋体" w:hAnsi="宋体" w:eastAsia="宋体" w:cs="宋体"/>
                            <w:sz w:val="24"/>
                            <w:szCs w:val="24"/>
                          </w:rPr>
                        </w:pPr>
                        <w:r>
                          <w:rPr>
                            <w:rStyle w:val="5"/>
                            <w:rFonts w:hint="eastAsia" w:ascii="宋体" w:hAnsi="宋体" w:eastAsia="宋体" w:cs="宋体"/>
                            <w:sz w:val="24"/>
                            <w:szCs w:val="24"/>
                          </w:rPr>
                          <w:t>第三章 资产配置及使用</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第十一条 事业单位国有资产配置是指财政部门、主管部门、事业单位等根据事业单位履行职能的需要，按照国家有关法律、法规和规章制度规定的程序，通过购置或者调剂等方式为事业单位配备资产的行为。</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第十二条 事业单位国有资产配置应当符合以下条件：</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（一）现有资产无法满足事业单位履行职能的需要；</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（二）难以与其他单位共享、共用相关资产；</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（三）难以通过市场购买产品或者服务的方式代替资产配置，或者采取市场购买方式的成本过高。</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第十三条 事业单位国有资产配置应当符合规定的配置标准；没有规定配置标准的，应当从严控制，合理配置。</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第十四条 对于事业单位长期闲置、低效运转或者超标准配置的资产，原则上由主管部门进行调剂，并报同级财政部门备案；跨部门、跨地区的资产调剂应当报同级或者共同上一级的财政部门批准。法律、行政法规另有规定的，依照其规定。</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第十五条 事业单位向财政部门申请用财政性资金购置规定限额以上资产的（包括事业单位申请用财政性资金举办大型会议、活动需要进行的购置），除国家另有规定外，按照下列程序报批：</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（一）年度部门预算编制前，事业单位资产管理部门会同财务部门审核资产存量，提出下一年度拟购置资产的品目、数量，测算经费额度，报主管部门审核；</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（二）主管部门根据事业单位资产存量状况和有关资产配置标准，审核、汇总事业单位资产购置计划，报同级财政部门审批；</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（三）同级财政部门根据主管部门的审核意见，对资产购置计划进行审批；</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（四）经同级财政部门批准的资产购置计划，事业单位应当列入年度部门预算，并在上报年度部门预算时附送批复文件等相关材料，作为财政部门批复部门预算的依据。</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第十六条 事业单位向主管部门或者其他部门申请项目经费的，有关部门在下达经费前，应当将所涉及的规定限额以上的资产购置事项报同级财政部门批准。</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第十七条 事业单位用其他资金购置规定限额以上资产的，报主管部门审批；主管部门应当将审批结果定期报同级财政部门备案。</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第十八条 事业单位购置纳入政府采购范围的资产，应当按照国家有关政府采购的规定执行。</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第十九条 事业单位国有资产的使用包括单位自用和对外投资、出租、出借、担保等方式。</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第二十条 事业单位应当建立健全资产购置、验收、保管、使用等内部管理制度。</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事业单位应当对实物资产进行定期清查，做到账账、账卡、账实相符，加强对本单位专利权、商标权、著作权、土地使用权、非专利技术、商誉等无形资产的管理，防止无形资产流失。</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第二十一条 事业单位利用国有资产对外投资、出租、出借和担保等应当进行必要的可行性论证，并提出申请，经主管部门审核同意后，报同级财政部门审批。法律、行政法规和本办法第五十六条另有规定的，依照其规定。</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事业单位应当对本单位用于对外投资、出租和出借的资产实行专项管理，并在单位财务会计报告中对相关信息进行充分披露。</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第二十二条 财政部门和主管部门应当加强对事业单位利用国有资产对外投资、出租、出借和担保等行为的风险控制。</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第二十三条 除本办法第五十六条及国家另有规定外，事业单位对外投资收益以及利用国有资产出租、出借和担保等取得的收入应当纳入单位预算，统一核算，统一管理。</w:t>
                        </w:r>
                      </w:p>
                      <w:p>
                        <w:pPr>
                          <w:pStyle w:val="2"/>
                          <w:keepNext w:val="0"/>
                          <w:keepLines w:val="0"/>
                          <w:widowControl/>
                          <w:suppressLineNumbers w:val="0"/>
                          <w:spacing w:after="210" w:afterAutospacing="0" w:line="27" w:lineRule="atLeast"/>
                          <w:jc w:val="center"/>
                          <w:rPr>
                            <w:rFonts w:hint="eastAsia" w:ascii="宋体" w:hAnsi="宋体" w:eastAsia="宋体" w:cs="宋体"/>
                            <w:sz w:val="24"/>
                            <w:szCs w:val="24"/>
                          </w:rPr>
                        </w:pPr>
                        <w:r>
                          <w:rPr>
                            <w:rStyle w:val="5"/>
                            <w:rFonts w:hint="eastAsia" w:ascii="宋体" w:hAnsi="宋体" w:eastAsia="宋体" w:cs="宋体"/>
                            <w:sz w:val="24"/>
                            <w:szCs w:val="24"/>
                          </w:rPr>
                          <w:t>第四章 资产处置</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第二十四条 事业单位国有资产处置，是指事业单位对其占有、使用的国有资产进行产权转让或者注销产权的行为。处置方式包括出售、出让、转让、对外捐赠、报废、报损以及货币性资产损失核销等。</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第二十五条 除本办法第五十六条另有规定外，事业单位处置国有资产，应当严格履行审批手续，未经批准不得自行处置。</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第二十六条 事业单位占有、使用的房屋建筑物、土地和车辆的处置，货币性资产损失的核销，以及单位价值或者批量价值在规定限额以上的资产的处置，经主管部门审核后报同级财政部门审批；规定限额以下的资产的处置报主管部门审批，主管部门将审批结果定期报同级财政部门备案。法律、行政法规和本办法第五十六条另有规定的，依照其规定。</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第二十七条 财政部门或者主管部门对事业单位国有资产处置事项的批复是财政部门重新安排事业单位有关资产配置预算项目的参考依据，是事业单位调整相关会计账目的凭证。</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第二十八条 事业单位国有资产处置应当遵循公开、公正、公平的原则。</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事业单位出售、出让、转让、变卖资产数量较多或者价值较高的，应当通过拍卖等市场竞价方式公开处置。</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第二十九条 除本办法第五十六条另有规定外，事业单位国有资产处置收入属于国家所有，应当按照政府非税收入管理的规定，实行“收支两条线”管理。</w:t>
                        </w:r>
                      </w:p>
                      <w:p>
                        <w:pPr>
                          <w:pStyle w:val="2"/>
                          <w:keepNext w:val="0"/>
                          <w:keepLines w:val="0"/>
                          <w:widowControl/>
                          <w:suppressLineNumbers w:val="0"/>
                          <w:spacing w:after="210" w:afterAutospacing="0" w:line="27" w:lineRule="atLeast"/>
                          <w:jc w:val="center"/>
                          <w:rPr>
                            <w:rFonts w:hint="eastAsia" w:ascii="宋体" w:hAnsi="宋体" w:eastAsia="宋体" w:cs="宋体"/>
                            <w:sz w:val="24"/>
                            <w:szCs w:val="24"/>
                          </w:rPr>
                        </w:pPr>
                        <w:r>
                          <w:rPr>
                            <w:rStyle w:val="5"/>
                            <w:rFonts w:hint="eastAsia" w:ascii="宋体" w:hAnsi="宋体" w:eastAsia="宋体" w:cs="宋体"/>
                            <w:sz w:val="24"/>
                            <w:szCs w:val="24"/>
                          </w:rPr>
                          <w:t>第五章 产权登记与产权纠纷处理</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第三十条 事业单位国有资产产权登记（以下简称产权登记）是国家对事业单位占有、使用的国有资产进行登记，依法确认国家对国有资产的所有权和事业单位对国有资产的占有、使用权的行为。</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第三十一条 事业单位应当向同级财政部门或者经同级财政部门授权的主管部门（以下简称授权部门）申报、办理产权登记，并由财政部门或者授权部门核发《事业单位国有资产产权登记证》（以下简称《产权登记证》）。</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第三十二条 《产权登记证》是国家对事业单位国有资产享有所有权，单位享有占有、使用权的法律凭证，由财政部统一印制。</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事业单位办理法人年检、改制、资产处置和利用国有资产对外投资、出租、出借、担保等事项时，应当出具《产权登记证》。</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第三十三条 事业单位国有资产产权登记的内容主要包括：</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（一）单位名称、住所、负责人及成立时间；</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（二）单位性质、主管部门；</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（三）单位资产总额、国有资产总额、主要实物资产额及其使用状况、对外投资情况；</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（四）其他需要登记的事项。</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第三十四条 事业单位应当按照以下规定进行国有资产产权登记：</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（一）新设立的事业单位，办理占有产权登记；</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（二）发生分立、合并、部分改制，以及隶属关系、单位名称、住所和单位负责人等产权登记内容发生变化的事业单位，办理变更产权登记；</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（三）因依法撤销或者整体改制等原因被清算、注销的事业单位，办理注销产权登记。</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第三十五条 各级财政部门应当在资产动态管理信息系统和变更产权登记的基础上，对事业单位国有资产产权登记实行定期检查。</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第三十六条 事业单位与其他国有单位之间发生国有资产产权纠纷的，由当事人协商解决。协商不能解决的，可以向同级或者共同上一级财政部门申请调解或者裁定，必要时报有管辖权的人民政府处理。</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第三十七条 事业单位与非国有单位或者个人之间发生产权纠纷的，事业单位应当提出拟处理意见，经主管部门审核并报同级财政部门批准后，与对方当事人协商解决。协商不能解决的，依照司法程序处理。</w:t>
                        </w:r>
                      </w:p>
                      <w:p>
                        <w:pPr>
                          <w:pStyle w:val="2"/>
                          <w:keepNext w:val="0"/>
                          <w:keepLines w:val="0"/>
                          <w:widowControl/>
                          <w:suppressLineNumbers w:val="0"/>
                          <w:spacing w:after="210" w:afterAutospacing="0" w:line="27" w:lineRule="atLeast"/>
                          <w:jc w:val="center"/>
                          <w:rPr>
                            <w:rFonts w:hint="eastAsia" w:ascii="宋体" w:hAnsi="宋体" w:eastAsia="宋体" w:cs="宋体"/>
                            <w:sz w:val="24"/>
                            <w:szCs w:val="24"/>
                          </w:rPr>
                        </w:pPr>
                        <w:r>
                          <w:rPr>
                            <w:rStyle w:val="5"/>
                            <w:rFonts w:hint="eastAsia" w:ascii="宋体" w:hAnsi="宋体" w:eastAsia="宋体" w:cs="宋体"/>
                            <w:sz w:val="24"/>
                            <w:szCs w:val="24"/>
                          </w:rPr>
                          <w:t>第六章 资产评估与资产清查</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第三十八条 事业单位有下列情形之一的，应当对相关国有资产进行评估：</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（一）整体或者部分改制为企业；</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（二）以非货币性资产对外投资；</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（三）合并、分立、清算；</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（四）资产拍卖、转让、置换；</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（五）整体或者部分资产租赁给非国有单位；</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（六）确定涉讼资产价值；</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（七）法律、行政法规规定的其他需要进行评估的事项。</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第三十九条 事业单位有下列情形之一的，可以不进行资产评估：</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（一）经批准事业单位整体或者部分资产无偿划转；</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（二）行政、事业单位下属的事业单位之间的合并、资产划转、置换和转让；</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（三）国家设立的研究开发机构、高等院校将其持有的科技成果转让、许可或者作价投资给国有全资企业的；</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（四）发生其他不影响国有资产权益的特殊产权变动行为，报经同级财政部门确认可以不进行资产评估的。</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第四十条 国家设立的研究开发机构、高等院校将其持有的科技成果转让、许可或者作价投资给非国有全资企业的，由单位自主决定是否进行资产评估。</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第四十一条 事业单位国有资产评估工作应当委托具有资产评估资质的评估机构进行。事业单位应当如实向资产评估机构提供有关情况和资料，并对所提供的情况和资料的客观性、真实性和合法性负责。</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事业单位不得以任何形式干预资产评估机构独立执业。</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第四十二条 事业单位国有资产评估项目实行核准制和备案制。核准和备案工作按照国家有关国有资产评估项目核准和备案管理的规定执行。</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第四十三条 事业单位有下列情形之一的，应当进行资产清查：</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（一）根据国家专项工作要求或者本级政府实际工作需要，被纳入统一组织的资产清查范围的；</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（二）进行重大改革或者整体、部分改制为企业的；</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（三）遭受重大自然灾害等不可抗力造成资产严重损失的；</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（四）会计信息严重失真或者国有资产出现重大流失的；</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（五）会计政策发生重大更改，涉及资产核算方法发生重要变化的；</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（六）同级财政部门认为应当进行资产清查的其他情形。</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第四十四条 事业单位进行资产清查，应当向主管部门提出申请，并按照规定程序报同级财政部门批准立项后组织实施，但根据国家专项工作要求或者本级政府工作需要进行的资产清查除外。</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第四十五条 事业单位资产清查工作的内容主要包括基本情况清理、账务清理、财产清查、损溢认定、资产核实和完善制度等。资产清查的具体办法由财政部另行制定。</w:t>
                        </w:r>
                      </w:p>
                      <w:p>
                        <w:pPr>
                          <w:pStyle w:val="2"/>
                          <w:keepNext w:val="0"/>
                          <w:keepLines w:val="0"/>
                          <w:widowControl/>
                          <w:suppressLineNumbers w:val="0"/>
                          <w:spacing w:after="210" w:afterAutospacing="0" w:line="27" w:lineRule="atLeast"/>
                          <w:jc w:val="center"/>
                          <w:rPr>
                            <w:rFonts w:hint="eastAsia" w:ascii="宋体" w:hAnsi="宋体" w:eastAsia="宋体" w:cs="宋体"/>
                            <w:sz w:val="24"/>
                            <w:szCs w:val="24"/>
                          </w:rPr>
                        </w:pPr>
                        <w:r>
                          <w:rPr>
                            <w:rStyle w:val="5"/>
                            <w:rFonts w:hint="eastAsia" w:ascii="宋体" w:hAnsi="宋体" w:eastAsia="宋体" w:cs="宋体"/>
                            <w:sz w:val="24"/>
                            <w:szCs w:val="24"/>
                          </w:rPr>
                          <w:t>第七章 资产信息管理与报告</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第四十六条 事业单位应当按照国有资产管理信息化的要求，及时将资产变动信息录入管理信息系统，对本单位资产实行动态管理，并在此基础上做好国有资产统计和信息报告工作。</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第四十七条 事业单位国有资产信息报告是事业单位财务会计报告的重要组成部分。事业单位应当按照财政部门规定的事业单位财务会计报告的格式、内容及要求，对其占有、使用的国有资产状况定期做出报告。</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第四十八条 事业单位国有资产占有、使用状况，是主管部门、财政部门编制和安排事业单位预算的重要参考依据。各级财政部门、主管部门应当充分利用资产管理信息系统和资产信息报告，全面、动态地掌握事业单位国有资产占有、使用状况，建立和完善资产与预算有效结合的激励和约束机制。</w:t>
                        </w:r>
                      </w:p>
                      <w:p>
                        <w:pPr>
                          <w:pStyle w:val="2"/>
                          <w:keepNext w:val="0"/>
                          <w:keepLines w:val="0"/>
                          <w:widowControl/>
                          <w:suppressLineNumbers w:val="0"/>
                          <w:spacing w:after="210" w:afterAutospacing="0" w:line="27" w:lineRule="atLeast"/>
                          <w:jc w:val="center"/>
                          <w:rPr>
                            <w:rFonts w:hint="eastAsia" w:ascii="宋体" w:hAnsi="宋体" w:eastAsia="宋体" w:cs="宋体"/>
                            <w:sz w:val="24"/>
                            <w:szCs w:val="24"/>
                          </w:rPr>
                        </w:pPr>
                        <w:r>
                          <w:rPr>
                            <w:rStyle w:val="5"/>
                            <w:rFonts w:hint="eastAsia" w:ascii="宋体" w:hAnsi="宋体" w:eastAsia="宋体" w:cs="宋体"/>
                            <w:sz w:val="24"/>
                            <w:szCs w:val="24"/>
                          </w:rPr>
                          <w:t>第八章 监督检查与法律责任</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第四十九条 财政部门、主管部门、事业单位及其工作人员，应当依法维护事业单位国有资产的安全完整，提高国有资产使用效益。</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第五十条 财政部门、主管部门和事业单位应当建立健全科学合理的事业单位国有资产监督管理责任制，将资产监督、管理的责任落实到具体部门、单位和个人。</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第五十一条 事业单位国有资产监督应当坚持单位内部监督与财政监督、审计监督、社会监督相结合，事前监督与事中监督、事后监督相结合，日常监督与专项检查相结合。</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第五十二条 事业单位及其工作人员违反本办法，有下列行为之一的，依据《财政违法行为处罚处分条例》的规定进行处罚、处理、处分：</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（一）以虚报、冒领等手段骗取财政资金的；</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（二）擅自占有、使用和处置国有资产的；</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（三）擅自提供担保的；</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（四）通过串通作弊、暗箱操作等低价处置国有资产的；</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（五）未按规定缴纳国有资产收益的。</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第五十三条 各级财政部门、主管部门及其工作人员在事业单位国有资产配置、使用、处置等管理工作中，存在违反本办法规定的行为，以及其他滥用职权、玩忽职守、徇私舞弊等违法违纪行为的，依照《中华人民共和国公务员法》《中华人民共和国监察法》《财政违法行为处罚处分条例》等国家有关规定追究相应责任；涉嫌犯罪的，依法移送司法机关处理。</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第五十四条 主管部门在配置事业单位国有资产或者审核、批准国有资产使用、处置事项的工作中违反本办法规定的，财政部门可以责令其限期改正，逾期不改的予以警告。</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第五十五条 违反本办法有关事业单位国有资产管理规定的其他行为，依据国家有关法律、法规及规章制度进行处理。</w:t>
                        </w:r>
                      </w:p>
                      <w:p>
                        <w:pPr>
                          <w:pStyle w:val="2"/>
                          <w:keepNext w:val="0"/>
                          <w:keepLines w:val="0"/>
                          <w:widowControl/>
                          <w:suppressLineNumbers w:val="0"/>
                          <w:spacing w:after="210" w:afterAutospacing="0" w:line="27" w:lineRule="atLeast"/>
                          <w:jc w:val="center"/>
                          <w:rPr>
                            <w:rFonts w:hint="eastAsia" w:ascii="宋体" w:hAnsi="宋体" w:eastAsia="宋体" w:cs="宋体"/>
                            <w:sz w:val="24"/>
                            <w:szCs w:val="24"/>
                          </w:rPr>
                        </w:pPr>
                        <w:r>
                          <w:rPr>
                            <w:rStyle w:val="5"/>
                            <w:rFonts w:hint="eastAsia" w:ascii="宋体" w:hAnsi="宋体" w:eastAsia="宋体" w:cs="宋体"/>
                            <w:sz w:val="24"/>
                            <w:szCs w:val="24"/>
                          </w:rPr>
                          <w:t>第九章 附则</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第五十六条 国家设立的研究开发机构、高等院校对其持有的科技成果，可以自主决定转让、许可或者作价投资，不需报主管部门、财政部门审批或者备案，并通过协议定价、在技术交易市场挂牌交易、拍卖等方式确定价格。通过协议定价的，应当在本单位公示科技成果名称和拟交易价格。</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国家设立的研究开发机构、高等院校转化科技成果所获得的收入全部留归本单位。</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第五十七条 社会团体和民办非企业单位中占有、使用国有资产的，参照本办法执行。参照公务员制度管理的事业单位和社会团体，依照国家关于行政单位国有资产管理的有关规定执行。</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第五十八条 实行企业化管理并执行企业财务会计制度的事业单位，以及事业单位创办的具有法人资格的企业，由财政部门按照企业国有资产监督管理的有关规定实施监督管理。</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第五十九条 地方财政部门制定的本地区和本级事业单位的国有资产管理规章制度，应当报上一级财政部门备案。</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中央级事业单位的国有资产管理实施办法，由财政部会同有关部门根据本办法制定。</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第六十条 境外事业单位国有资产管理办法由财政部另行制定。中国人民解放军、武装警察部队以及经国家批准的特定事业单位的国有资产管理办法，由解放军总后勤部、武装警察部队和有关主管部门会同财政部另行制定。</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行业特点突出，需要制定行业事业单位国有资产管理办法的，由财政部会同有关主管部门根据本办法制定。</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第六十一条 本办法中有关资产配置、处置事项的“规定限额”由省级以上财政部门另行确定。</w:t>
                        </w:r>
                      </w:p>
                      <w:p>
                        <w:pPr>
                          <w:pStyle w:val="2"/>
                          <w:keepNext w:val="0"/>
                          <w:keepLines w:val="0"/>
                          <w:widowControl/>
                          <w:suppressLineNumbers w:val="0"/>
                          <w:spacing w:after="210" w:afterAutospacing="0" w:line="27" w:lineRule="atLeast"/>
                          <w:jc w:val="left"/>
                          <w:rPr>
                            <w:rFonts w:hint="eastAsia" w:ascii="宋体" w:hAnsi="宋体" w:eastAsia="宋体" w:cs="宋体"/>
                            <w:sz w:val="24"/>
                            <w:szCs w:val="24"/>
                          </w:rPr>
                        </w:pPr>
                        <w:r>
                          <w:rPr>
                            <w:rFonts w:hint="eastAsia" w:ascii="宋体" w:hAnsi="宋体" w:eastAsia="宋体" w:cs="宋体"/>
                            <w:sz w:val="24"/>
                            <w:szCs w:val="24"/>
                          </w:rPr>
                          <w:t>　　第六十二条 本办法自2006年7月1日起施行。此前颁布的有关事业单位国有资产管理的规定与本办法相抵触的，按照本办法执行。</w:t>
                        </w:r>
                      </w:p>
                    </w:tc>
                  </w:tr>
                </w:tbl>
                <w:p>
                  <w:pPr>
                    <w:jc w:val="center"/>
                    <w:rPr>
                      <w:rFonts w:hint="eastAsia" w:ascii="宋体" w:hAnsi="宋体" w:eastAsia="宋体" w:cs="宋体"/>
                      <w:sz w:val="18"/>
                      <w:szCs w:val="18"/>
                    </w:rPr>
                  </w:pPr>
                </w:p>
              </w:tc>
            </w:tr>
          </w:tbl>
          <w:p>
            <w:pPr>
              <w:spacing w:line="432" w:lineRule="auto"/>
              <w:jc w:val="center"/>
              <w:rPr>
                <w:rFonts w:hint="eastAsia" w:ascii="宋体" w:hAnsi="宋体" w:eastAsia="宋体" w:cs="宋体"/>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4731F"/>
    <w:rsid w:val="30E47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sz w:val="18"/>
      <w:szCs w:val="18"/>
      <w:u w:val="none"/>
    </w:rPr>
  </w:style>
  <w:style w:type="character" w:styleId="7">
    <w:name w:val="Hyperlink"/>
    <w:basedOn w:val="4"/>
    <w:uiPriority w:val="0"/>
    <w:rPr>
      <w:color w:val="000000"/>
      <w:sz w:val="18"/>
      <w:szCs w:val="18"/>
      <w:u w:val="none"/>
    </w:rPr>
  </w:style>
  <w:style w:type="paragraph" w:customStyle="1" w:styleId="8">
    <w:name w:val="hr_1"/>
    <w:basedOn w:val="1"/>
    <w:uiPriority w:val="0"/>
    <w:pPr>
      <w:jc w:val="center"/>
    </w:pPr>
    <w:rPr>
      <w:color w:val="99C2E2"/>
      <w:kern w:val="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2019-04-08T03:28:00Z</dcterms:created>
  <dc:creator>老山羊</dc:creator>
  <cp:lastModifiedBy>老山羊</cp:lastModifiedBy>
  <dcterms:modified xsi:type="dcterms:W3CDTF">2019-04-08T03:29:34Z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